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105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01"/>
        <w:gridCol w:w="5004"/>
      </w:tblGrid>
      <w:tr>
        <w:tblPrEx>
          <w:shd w:val="clear" w:color="auto" w:fill="ced7e7"/>
        </w:tblPrEx>
        <w:trPr>
          <w:trHeight w:val="13669" w:hRule="atLeast"/>
        </w:trPr>
        <w:tc>
          <w:tcPr>
            <w:tcW w:type="dxa" w:w="51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00" w:line="228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ОТЧЕТ ОБ ИТОГАХ ГОЛОСОВАНИЯ</w:t>
            </w:r>
          </w:p>
          <w:p>
            <w:pPr>
              <w:pStyle w:val="Normal.0"/>
              <w:bidi w:val="0"/>
              <w:spacing w:line="228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с уточнением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before="12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Полное фирменное наименование общества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Публичное акционерное общество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РОСИНТЕР </w:t>
            </w:r>
            <w:r>
              <w:rPr>
                <w:rFonts w:ascii="Times New Roman" w:hAnsi="Times New Roman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РЕСТОРАНТС ХОЛДИНГ</w:t>
            </w: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  <w:shd w:val="nil" w:color="auto" w:fill="auto"/>
                <w:rtl w:val="0"/>
                <w:lang w:val="ru-RU"/>
              </w:rPr>
              <w:t>далее –</w:t>
            </w:r>
            <w:r>
              <w:rPr>
                <w:rFonts w:ascii="Times New Roman" w:hAnsi="Times New Roman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 «Общество»</w:t>
            </w: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Normal.0"/>
              <w:bidi w:val="0"/>
              <w:spacing w:before="120" w:line="228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Место нахождения Общества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Российская Федерация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Москва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before="120" w:line="228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Адрес Общества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Российская Федерация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111024,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Москва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Душинская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.7,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стр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.1.</w:t>
            </w:r>
          </w:p>
          <w:p>
            <w:pPr>
              <w:pStyle w:val="Normal.0"/>
              <w:bidi w:val="0"/>
              <w:spacing w:before="120" w:line="228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Вид общего собрания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внеочередное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before="120" w:line="228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Форма проведения общего собрания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заочное голосование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before="120" w:line="228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Дата проведения общего собрания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дата окончания приема бюллетеней для голосования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):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31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2024.</w:t>
            </w:r>
          </w:p>
          <w:p>
            <w:pPr>
              <w:pStyle w:val="Body Text Indent 3"/>
              <w:bidi w:val="0"/>
              <w:spacing w:before="120" w:line="228" w:lineRule="auto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Дата определения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фиксации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лиц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имевших право на участие в общем собрании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09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nil" w:color="auto" w:fill="auto"/>
                <w:lang w:val="ru-RU"/>
              </w:rPr>
              <w:br w:type="textWrapping"/>
            </w:r>
          </w:p>
          <w:p>
            <w:pPr>
              <w:pStyle w:val="Normal.0"/>
              <w:bidi w:val="0"/>
              <w:spacing w:before="120" w:line="228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Счетная комиссия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Функции счетной комиссии выполнял регистратор Общества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Полное фирменное наименование регистратора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Акционерное общество «РДЦ ПАРИТЕТ»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Место нахождения регистратора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Российская Федерация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Москва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Адрес регистратора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115114,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Москва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вн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тер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муниципальный округ Даниловский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пер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 2-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й Кожевнический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12,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стр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2,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этаж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3,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помещ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XVI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комната №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4. 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Уполномоченное лицо регистратора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Завьялова Галина Этгордовна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before="120" w:line="228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Председательствующий на общем собрании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Ростислав Ордовский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Танаевский Бланко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before="120" w:line="228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Секретарь общего собрания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Надденная Мария Анатольевна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before="120" w:after="120" w:line="228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Повестка дня общего собрания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Default"/>
              <w:bidi w:val="0"/>
              <w:spacing w:before="0" w:line="228" w:lineRule="auto"/>
              <w:ind w:left="0" w:right="0" w:firstLine="0"/>
              <w:jc w:val="both"/>
              <w:rPr>
                <w:spacing w:val="-3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ru-RU"/>
              </w:rPr>
              <w:t>Одобрение сделки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ru-RU"/>
              </w:rPr>
              <w:t>в совершении которой имеется заинтересованность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line="229" w:lineRule="auto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line="229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По первому вопросу повестки дня</w:t>
            </w:r>
          </w:p>
          <w:p>
            <w:pPr>
              <w:pStyle w:val="Normal.0"/>
              <w:bidi w:val="0"/>
              <w:spacing w:line="229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«Одобрение сделки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 совершении которой имеется заинтересованность»</w:t>
            </w:r>
          </w:p>
          <w:p>
            <w:pPr>
              <w:pStyle w:val="Normal.0"/>
              <w:bidi w:val="0"/>
              <w:spacing w:before="12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>Число голосов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>которыми обладали лица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>включенные в список лиц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>имевших право на участие в общем собрании по данному вопросу повестки дня общего собрания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>: 16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>305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>334.</w:t>
            </w:r>
          </w:p>
          <w:p>
            <w:pPr>
              <w:pStyle w:val="Normal.0"/>
              <w:bidi w:val="0"/>
              <w:spacing w:before="120" w:line="228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>Число голосов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приходившихся на голосующие акции Общества по данному вопросу повестки дня 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>общего собрания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>определенное с учетом положений</w:t>
            </w:r>
          </w:p>
        </w:tc>
        <w:tc>
          <w:tcPr>
            <w:tcW w:type="dxa" w:w="50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00" w:line="228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REPORT ON THE VOTING RESULTS </w:t>
            </w:r>
          </w:p>
          <w:p>
            <w:pPr>
              <w:pStyle w:val="Normal.0"/>
              <w:bidi w:val="0"/>
              <w:spacing w:line="228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(with clarification)</w:t>
            </w:r>
          </w:p>
          <w:p>
            <w:pPr>
              <w:pStyle w:val="Normal.0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Основной текст A"/>
              <w:suppressAutoHyphens w:val="1"/>
              <w:bidi w:val="0"/>
              <w:spacing w:before="120" w:line="228" w:lineRule="auto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Full name of the company: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Public Joint Stock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Company ROSINTER RESTAURANTS HOLDING</w:t>
            </w:r>
            <w:r>
              <w:rPr>
                <w:sz w:val="21"/>
                <w:szCs w:val="2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(hereinafter referred to as the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Company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).</w:t>
            </w:r>
          </w:p>
          <w:p>
            <w:pPr>
              <w:pStyle w:val="Основной текст A"/>
              <w:suppressAutoHyphens w:val="1"/>
              <w:bidi w:val="0"/>
              <w:spacing w:before="120" w:line="228" w:lineRule="auto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Location of the Company: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Moscow, Russian Federation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 A"/>
              <w:suppressAutoHyphens w:val="1"/>
              <w:bidi w:val="0"/>
              <w:spacing w:before="120" w:line="228" w:lineRule="auto"/>
              <w:ind w:left="0" w:right="0" w:firstLine="0"/>
              <w:jc w:val="both"/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Address of the Company: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7, Dushinskaya St., bldg.1, Moscow, 111024, Russian Federation.</w:t>
            </w:r>
          </w:p>
          <w:p>
            <w:pPr>
              <w:pStyle w:val="Normal.0"/>
              <w:bidi w:val="0"/>
              <w:spacing w:before="12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Type of the general meeting: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extraordinary.</w:t>
            </w:r>
          </w:p>
          <w:p>
            <w:pPr>
              <w:pStyle w:val="Normal.0"/>
              <w:bidi w:val="0"/>
              <w:spacing w:before="12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Form of holding of the general meeting: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absentee voting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Body Text Indent 3"/>
              <w:bidi w:val="0"/>
              <w:spacing w:before="120" w:line="228" w:lineRule="auto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Date of holding of the general meeting (the closing date for receiving voting ballots): </w:t>
            </w:r>
            <w:r>
              <w:rPr>
                <w:b w:val="1"/>
                <w:bCs w:val="1"/>
                <w:spacing w:val="-1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January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31, 2024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Body Text Indent 3"/>
              <w:spacing w:line="228" w:lineRule="auto"/>
              <w:ind w:firstLine="0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Text Indent 3"/>
              <w:bidi w:val="0"/>
              <w:spacing w:before="120" w:line="228" w:lineRule="auto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Date of determination (recording) of the persons entitled to participate in the general meeting: </w:t>
            </w:r>
            <w:r>
              <w:rPr>
                <w:b w:val="1"/>
                <w:bCs w:val="1"/>
                <w:spacing w:val="-1"/>
                <w:sz w:val="21"/>
                <w:szCs w:val="21"/>
                <w:shd w:val="nil" w:color="auto" w:fill="auto"/>
                <w:rtl w:val="0"/>
                <w:lang w:val="en-US"/>
              </w:rPr>
              <w:t>January 9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, 2024.</w:t>
            </w:r>
          </w:p>
          <w:p>
            <w:pPr>
              <w:pStyle w:val="Normal.0"/>
              <w:bidi w:val="0"/>
              <w:spacing w:before="120" w:line="228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Counting commission: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The functions of the counting commission were performed by the Company's registrar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Full name of the registrar: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Joint Stock Company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RD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С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PARITET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Location of the registrar: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Moscow, Russian Federation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Address of the registrar: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12, 2nd Kozhevnichesky  per., bld.2, 4th ent., 3rd floor, 115114, Moscow, Russian Federation.</w:t>
            </w:r>
          </w:p>
          <w:p>
            <w:pPr>
              <w:pStyle w:val="Normal.0"/>
              <w:spacing w:line="228" w:lineRule="auto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The registrar's authorized person: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Galina Zavialova.</w:t>
            </w:r>
          </w:p>
          <w:p>
            <w:pPr>
              <w:pStyle w:val="Основной текст A"/>
              <w:suppressAutoHyphens w:val="1"/>
              <w:spacing w:line="228" w:lineRule="auto"/>
              <w:rPr>
                <w:i w:val="1"/>
                <w:i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Основной текст A"/>
              <w:suppressAutoHyphens w:val="1"/>
              <w:bidi w:val="0"/>
              <w:spacing w:before="120" w:line="228" w:lineRule="auto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Chairman of the general meeting: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Rostislav  Ordovsky-Tanaevsky Blanco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 A"/>
              <w:suppressAutoHyphens w:val="1"/>
              <w:bidi w:val="0"/>
              <w:spacing w:before="120" w:line="228" w:lineRule="auto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Secretary of the general meeting: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Maria Anatolievna Naddennaya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.0"/>
              <w:bidi w:val="0"/>
              <w:spacing w:before="120" w:after="120" w:line="228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Agenda of the general meeting:</w:t>
            </w:r>
          </w:p>
          <w:p>
            <w:pPr>
              <w:pStyle w:val="List Paragraph"/>
              <w:bidi w:val="0"/>
              <w:spacing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1. Approval of a related-party transaction.</w:t>
            </w:r>
          </w:p>
          <w:p>
            <w:pPr>
              <w:pStyle w:val="List Paragraph"/>
              <w:spacing w:line="228" w:lineRule="auto"/>
              <w:ind w:left="0" w:firstLine="0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29" w:lineRule="auto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29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On the first agenda item</w:t>
            </w:r>
          </w:p>
          <w:p>
            <w:pPr>
              <w:pStyle w:val="Normal.0"/>
              <w:bidi w:val="0"/>
              <w:spacing w:line="229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Approval of a related-party transaction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Normal.0"/>
              <w:spacing w:line="229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before="12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Number of votes held by the persons included in the list of persons entitled to participate in the general meeting on this agenda item of the general meeting was 16,305,334.</w:t>
            </w:r>
          </w:p>
          <w:p>
            <w:pPr>
              <w:pStyle w:val="Normal.0"/>
              <w:bidi w:val="0"/>
              <w:spacing w:before="120" w:line="228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en-US"/>
              </w:rPr>
              <w:t>Number of votes represented by the voting shares of the Company on this agenda item of the general meeting, determined taking into account the provisions of Clause</w:t>
            </w:r>
          </w:p>
        </w:tc>
      </w:tr>
      <w:tr>
        <w:tblPrEx>
          <w:shd w:val="clear" w:color="auto" w:fill="ced7e7"/>
        </w:tblPrEx>
        <w:trPr>
          <w:trHeight w:val="2392" w:hRule="atLeast"/>
        </w:trPr>
        <w:tc>
          <w:tcPr>
            <w:tcW w:type="dxa" w:w="51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28" w:lineRule="auto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пункта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4.24 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Положения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*: 16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305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334.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>Число голосов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>которыми обладали лица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1"/>
                <w:szCs w:val="21"/>
                <w:shd w:val="nil" w:color="auto" w:fill="auto"/>
                <w:rtl w:val="0"/>
                <w:lang w:val="ru-RU"/>
              </w:rPr>
              <w:t>не заинтересованные в совершении Обществом сделки</w:t>
            </w:r>
            <w:r>
              <w:rPr>
                <w:rFonts w:ascii="Times New Roman" w:hAnsi="Times New Roman"/>
                <w:i w:val="1"/>
                <w:i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>принявшие участие в общем собрании по данному вопросу повестки дня общего собрания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en-US"/>
              </w:rPr>
              <w:t>**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>: 11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>385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587, 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что составляет 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>69,827377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% 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>от общего числа голосов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Кворум по данному вопросу имелся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Число голосов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отданных за каждый из вариантов голосования по данному вопросу повестки дня общего собрания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50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28" w:lineRule="auto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4.24 of the Regulation * was 16,305,334.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Number of votes held by persons </w:t>
            </w:r>
            <w:r>
              <w:rPr>
                <w:rFonts w:ascii="Times New Roman" w:hAnsi="Times New Roman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not interested in the Company</w:t>
            </w:r>
            <w:r>
              <w:rPr>
                <w:rFonts w:ascii="Times New Roman" w:hAnsi="Times New Roman" w:hint="default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s transaction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who participated in the general meeting on this agenda item of the general meeting** was 11,385,587, which constituted 69.827377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en-US"/>
              </w:rPr>
              <w:t>% of the total number of votes.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A quorum was present on this item.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Number of votes given for each of the voting options on this agenda item of the general meeting was</w:t>
            </w:r>
          </w:p>
        </w:tc>
      </w:tr>
    </w:tbl>
    <w:p>
      <w:pPr>
        <w:pStyle w:val="Normal.0"/>
        <w:widowControl w:val="0"/>
        <w:ind w:left="324" w:hanging="324"/>
      </w:pPr>
    </w:p>
    <w:p>
      <w:pPr>
        <w:pStyle w:val="Normal.0"/>
        <w:widowControl w:val="0"/>
        <w:ind w:left="216" w:hanging="216"/>
      </w:pPr>
    </w:p>
    <w:p>
      <w:pPr>
        <w:pStyle w:val="Normal.0"/>
        <w:widowControl w:val="0"/>
        <w:ind w:left="108" w:hanging="108"/>
      </w:pP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</w:tabs>
        <w:rPr>
          <w:rFonts w:ascii="Times New Roman" w:cs="Times New Roman" w:hAnsi="Times New Roman" w:eastAsia="Times New Roman"/>
          <w:i w:val="1"/>
          <w:iCs w:val="1"/>
          <w:spacing w:val="0"/>
          <w:sz w:val="2"/>
          <w:szCs w:val="2"/>
          <w:lang w:val="en-US"/>
        </w:rPr>
      </w:pPr>
    </w:p>
    <w:tbl>
      <w:tblPr>
        <w:tblW w:w="10341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2"/>
        <w:gridCol w:w="1642"/>
        <w:gridCol w:w="1702"/>
        <w:gridCol w:w="182"/>
        <w:gridCol w:w="1908"/>
        <w:gridCol w:w="1568"/>
        <w:gridCol w:w="1497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8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«ЗА»</w:t>
            </w:r>
          </w:p>
        </w:tc>
        <w:tc>
          <w:tcPr>
            <w:tcW w:type="dxa" w:w="16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«ПРОТИВ»</w:t>
            </w:r>
          </w:p>
        </w:tc>
        <w:tc>
          <w:tcPr>
            <w:tcW w:type="dxa" w:w="17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«ВОЗДЕРЖАЛСЯ»</w:t>
            </w:r>
          </w:p>
        </w:tc>
        <w:tc>
          <w:tcPr>
            <w:tcW w:type="dxa" w:w="182"/>
            <w:tcBorders>
              <w:top w:val="single" w:color="ffffff" w:sz="8" w:space="0" w:shadow="0" w:frame="0"/>
              <w:left w:val="single" w:color="000000" w:sz="8" w:space="0" w:shadow="0" w:frame="0"/>
              <w:bottom w:val="single" w:color="ffffff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en-US"/>
              </w:rPr>
              <w:t>FOR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en-US"/>
              </w:rPr>
              <w:t>AGAINST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14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en-US"/>
              </w:rPr>
              <w:t>ABSTAINED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en-US"/>
              </w:rPr>
              <w:t>”</w:t>
            </w:r>
          </w:p>
        </w:tc>
      </w:tr>
    </w:tbl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</w:tabs>
        <w:ind w:left="324" w:hanging="324"/>
        <w:rPr>
          <w:rFonts w:ascii="Times New Roman" w:cs="Times New Roman" w:hAnsi="Times New Roman" w:eastAsia="Times New Roman"/>
          <w:i w:val="1"/>
          <w:iCs w:val="1"/>
          <w:spacing w:val="0"/>
          <w:sz w:val="2"/>
          <w:szCs w:val="2"/>
          <w:lang w:val="en-US"/>
        </w:rPr>
      </w:pP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</w:tabs>
        <w:ind w:left="216" w:hanging="216"/>
        <w:rPr>
          <w:rFonts w:ascii="Times New Roman" w:cs="Times New Roman" w:hAnsi="Times New Roman" w:eastAsia="Times New Roman"/>
          <w:i w:val="1"/>
          <w:iCs w:val="1"/>
          <w:spacing w:val="0"/>
          <w:sz w:val="2"/>
          <w:szCs w:val="2"/>
          <w:lang w:val="en-US"/>
        </w:rPr>
      </w:pPr>
    </w:p>
    <w:tbl>
      <w:tblPr>
        <w:tblW w:w="1034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8"/>
        <w:gridCol w:w="928"/>
        <w:gridCol w:w="763"/>
        <w:gridCol w:w="888"/>
        <w:gridCol w:w="970"/>
        <w:gridCol w:w="730"/>
        <w:gridCol w:w="182"/>
        <w:gridCol w:w="982"/>
        <w:gridCol w:w="924"/>
        <w:gridCol w:w="736"/>
        <w:gridCol w:w="830"/>
        <w:gridCol w:w="809"/>
        <w:gridCol w:w="690"/>
      </w:tblGrid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9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line="216" w:lineRule="auto"/>
              <w:jc w:val="center"/>
              <w:outlineLvl w:val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Число голосов</w:t>
            </w:r>
          </w:p>
        </w:tc>
        <w:tc>
          <w:tcPr>
            <w:tcW w:type="dxa" w:w="9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  <w:outlineLvl w:val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7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line="216" w:lineRule="auto"/>
              <w:jc w:val="center"/>
              <w:outlineLvl w:val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Число голосов</w:t>
            </w:r>
          </w:p>
        </w:tc>
        <w:tc>
          <w:tcPr>
            <w:tcW w:type="dxa" w:w="8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line="216" w:lineRule="auto"/>
              <w:jc w:val="center"/>
              <w:outlineLvl w:val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9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line="216" w:lineRule="auto"/>
              <w:jc w:val="center"/>
              <w:outlineLvl w:val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Число голосов</w:t>
            </w:r>
          </w:p>
        </w:tc>
        <w:tc>
          <w:tcPr>
            <w:tcW w:type="dxa" w:w="7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line="216" w:lineRule="auto"/>
              <w:jc w:val="center"/>
              <w:outlineLvl w:val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182"/>
            <w:tcBorders>
              <w:top w:val="single" w:color="ffffff" w:sz="8" w:space="0" w:shadow="0" w:frame="0"/>
              <w:left w:val="single" w:color="000000" w:sz="8" w:space="0" w:shadow="0" w:frame="0"/>
              <w:bottom w:val="single" w:color="ffffff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16" w:lineRule="auto"/>
              <w:jc w:val="center"/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en-US"/>
              </w:rPr>
              <w:t>Number    of votes</w:t>
            </w:r>
          </w:p>
        </w:tc>
        <w:tc>
          <w:tcPr>
            <w:tcW w:type="dxa" w:w="9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line="216" w:lineRule="auto"/>
              <w:jc w:val="center"/>
              <w:outlineLvl w:val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16" w:lineRule="auto"/>
              <w:jc w:val="center"/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en-US"/>
              </w:rPr>
              <w:t>Number of votes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line="216" w:lineRule="auto"/>
              <w:jc w:val="center"/>
              <w:outlineLvl w:val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8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16" w:lineRule="auto"/>
              <w:jc w:val="center"/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en-US"/>
              </w:rPr>
              <w:t>Number of votes</w:t>
            </w:r>
          </w:p>
        </w:tc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line="216" w:lineRule="auto"/>
              <w:jc w:val="center"/>
              <w:outlineLvl w:val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9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  <w:outlineLvl w:val="0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384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957</w:t>
            </w:r>
          </w:p>
        </w:tc>
        <w:tc>
          <w:tcPr>
            <w:tcW w:type="dxa" w:w="9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  <w:outlineLvl w:val="0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99,994467</w:t>
            </w:r>
          </w:p>
        </w:tc>
        <w:tc>
          <w:tcPr>
            <w:tcW w:type="dxa" w:w="7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  <w:outlineLvl w:val="0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630</w:t>
            </w:r>
          </w:p>
        </w:tc>
        <w:tc>
          <w:tcPr>
            <w:tcW w:type="dxa" w:w="8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  <w:outlineLvl w:val="0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0,005533</w:t>
            </w:r>
          </w:p>
        </w:tc>
        <w:tc>
          <w:tcPr>
            <w:tcW w:type="dxa" w:w="9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  <w:outlineLvl w:val="0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7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  <w:outlineLvl w:val="0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82"/>
            <w:tcBorders>
              <w:top w:val="single" w:color="ffffff" w:sz="8" w:space="0" w:shadow="0" w:frame="0"/>
              <w:left w:val="single" w:color="000000" w:sz="8" w:space="0" w:shadow="0" w:frame="0"/>
              <w:bottom w:val="single" w:color="ffffff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  <w:outlineLvl w:val="0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11,384,957</w:t>
            </w:r>
          </w:p>
        </w:tc>
        <w:tc>
          <w:tcPr>
            <w:tcW w:type="dxa" w:w="9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  <w:outlineLvl w:val="0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99.994467</w:t>
            </w:r>
          </w:p>
        </w:tc>
        <w:tc>
          <w:tcPr>
            <w:tcW w:type="dxa" w:w="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  <w:outlineLvl w:val="0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630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  <w:outlineLvl w:val="0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0,005533</w:t>
            </w:r>
          </w:p>
        </w:tc>
        <w:tc>
          <w:tcPr>
            <w:tcW w:type="dxa" w:w="8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  <w:outlineLvl w:val="0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  <w:outlineLvl w:val="0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0.00</w:t>
            </w:r>
          </w:p>
        </w:tc>
      </w:tr>
    </w:tbl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</w:tabs>
        <w:ind w:left="324" w:hanging="324"/>
        <w:rPr>
          <w:rFonts w:ascii="Times New Roman" w:cs="Times New Roman" w:hAnsi="Times New Roman" w:eastAsia="Times New Roman"/>
          <w:i w:val="1"/>
          <w:iCs w:val="1"/>
          <w:spacing w:val="0"/>
          <w:sz w:val="2"/>
          <w:szCs w:val="2"/>
          <w:lang w:val="en-US"/>
        </w:rPr>
      </w:pP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</w:tabs>
        <w:ind w:left="216" w:hanging="216"/>
        <w:rPr>
          <w:rFonts w:ascii="Times New Roman" w:cs="Times New Roman" w:hAnsi="Times New Roman" w:eastAsia="Times New Roman"/>
          <w:i w:val="1"/>
          <w:iCs w:val="1"/>
          <w:spacing w:val="0"/>
          <w:lang w:val="en-US"/>
        </w:rPr>
      </w:pPr>
    </w:p>
    <w:tbl>
      <w:tblPr>
        <w:tblW w:w="10213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55"/>
        <w:gridCol w:w="5058"/>
      </w:tblGrid>
      <w:tr>
        <w:tblPrEx>
          <w:shd w:val="clear" w:color="auto" w:fill="ced7e7"/>
        </w:tblPrEx>
        <w:trPr>
          <w:trHeight w:val="9673" w:hRule="atLeast"/>
        </w:trPr>
        <w:tc>
          <w:tcPr>
            <w:tcW w:type="dxa" w:w="5155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28" w:lineRule="auto"/>
              <w:jc w:val="both"/>
              <w:rPr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>Число голосов по данному вопросу повестки дня общего собрания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1"/>
                <w:szCs w:val="21"/>
                <w:shd w:val="nil" w:color="auto" w:fill="auto"/>
                <w:rtl w:val="0"/>
                <w:lang w:val="ru-RU"/>
              </w:rPr>
              <w:t>которые не подсчитывались в  связи с  признанием бюллетеней недействительными или по иным основаниям</w:t>
            </w:r>
            <w:r>
              <w:rPr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ru-RU"/>
              </w:rPr>
              <w:t>: 0.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Решение принято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pacing w:val="-2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pacing w:val="-2"/>
                <w:sz w:val="21"/>
                <w:szCs w:val="21"/>
                <w:shd w:val="nil" w:color="auto" w:fill="auto"/>
                <w:rtl w:val="0"/>
                <w:lang w:val="ru-RU"/>
              </w:rPr>
              <w:t>Формулировка решения</w:t>
            </w:r>
            <w:r>
              <w:rPr>
                <w:rFonts w:ascii="Times New Roman" w:hAnsi="Times New Roman"/>
                <w:spacing w:val="-2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pacing w:val="-2"/>
                <w:sz w:val="21"/>
                <w:szCs w:val="21"/>
                <w:shd w:val="nil" w:color="auto" w:fill="auto"/>
                <w:rtl w:val="0"/>
                <w:lang w:val="ru-RU"/>
              </w:rPr>
              <w:t>принятого общим собранием по данному вопросу повестки дня общего собрания</w:t>
            </w:r>
            <w:r>
              <w:rPr>
                <w:rFonts w:ascii="Times New Roman" w:hAnsi="Times New Roman"/>
                <w:spacing w:val="-2"/>
                <w:sz w:val="21"/>
                <w:szCs w:val="21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before="120" w:after="6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Одобрить сделку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 совершении которой имеется заинтересованность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– внесение вклада в имущество дочернего общества с заключением договора о внесении такого вклада на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следующих условиях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Default"/>
              <w:bidi w:val="0"/>
              <w:spacing w:before="60"/>
              <w:ind w:left="0" w:right="0" w:firstLine="426"/>
              <w:jc w:val="both"/>
              <w:rPr>
                <w:b w:val="1"/>
                <w:bCs w:val="1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21"/>
                <w:szCs w:val="21"/>
                <w:shd w:val="nil" w:color="auto" w:fill="auto"/>
                <w:rtl w:val="0"/>
                <w:lang w:val="ru-RU"/>
              </w:rPr>
              <w:t>Стороны и выгодоприобретатели по сделке</w:t>
            </w:r>
            <w:r>
              <w:rPr>
                <w:b w:val="1"/>
                <w:bCs w:val="1"/>
                <w:i w:val="1"/>
                <w:iCs w:val="1"/>
                <w:sz w:val="21"/>
                <w:szCs w:val="21"/>
                <w:shd w:val="nil" w:color="auto" w:fill="auto"/>
                <w:rtl w:val="0"/>
                <w:lang w:val="ru-RU"/>
              </w:rPr>
              <w:t>: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 ПАО «РОСИНТЕР РЕСТОРАНТС ХОЛДИНГ»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Участник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Общество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ООО «РОСИНТЕР РЕСТОРАНТС»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ИНН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7737115648) (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Дочернее общество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выгодоприобретателей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иных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чем стороны сделки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не имеется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Default"/>
              <w:bidi w:val="0"/>
              <w:spacing w:before="60"/>
              <w:ind w:left="0" w:right="0" w:firstLine="426"/>
              <w:jc w:val="both"/>
              <w:rPr>
                <w:b w:val="1"/>
                <w:bCs w:val="1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21"/>
                <w:szCs w:val="21"/>
                <w:shd w:val="nil" w:color="auto" w:fill="auto"/>
                <w:rtl w:val="0"/>
                <w:lang w:val="ru-RU"/>
              </w:rPr>
              <w:t>Предмет и иные существенные условия сделки</w:t>
            </w:r>
            <w:r>
              <w:rPr>
                <w:b w:val="1"/>
                <w:bCs w:val="1"/>
                <w:i w:val="1"/>
                <w:i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Общество вносит вклад в имущество Дочернего общества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Default"/>
              <w:bidi w:val="0"/>
              <w:spacing w:before="60"/>
              <w:ind w:left="0" w:right="0" w:firstLine="426"/>
              <w:jc w:val="both"/>
              <w:rPr>
                <w:b w:val="1"/>
                <w:bCs w:val="1"/>
                <w:spacing w:val="-3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b w:val="1"/>
                <w:bCs w:val="1"/>
                <w:spacing w:val="-3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b w:val="1"/>
                <w:bCs w:val="1"/>
                <w:spacing w:val="-3"/>
                <w:sz w:val="21"/>
                <w:szCs w:val="21"/>
                <w:shd w:val="nil" w:color="auto" w:fill="auto"/>
                <w:rtl w:val="0"/>
                <w:lang w:val="ru-RU"/>
              </w:rPr>
              <w:t>размер вклада</w:t>
            </w:r>
            <w:r>
              <w:rPr>
                <w:b w:val="1"/>
                <w:bCs w:val="1"/>
                <w:spacing w:val="-3"/>
                <w:sz w:val="21"/>
                <w:szCs w:val="21"/>
                <w:shd w:val="nil" w:color="auto" w:fill="auto"/>
                <w:rtl w:val="0"/>
                <w:lang w:val="ru-RU"/>
              </w:rPr>
              <w:t>: 553</w:t>
            </w:r>
            <w:r>
              <w:rPr>
                <w:b w:val="1"/>
                <w:bCs w:val="1"/>
                <w:spacing w:val="-3"/>
                <w:sz w:val="21"/>
                <w:szCs w:val="21"/>
                <w:shd w:val="nil" w:color="auto" w:fill="auto"/>
                <w:rtl w:val="0"/>
                <w:lang w:val="ru-RU"/>
              </w:rPr>
              <w:t> </w:t>
            </w:r>
            <w:r>
              <w:rPr>
                <w:b w:val="1"/>
                <w:bCs w:val="1"/>
                <w:spacing w:val="-3"/>
                <w:sz w:val="21"/>
                <w:szCs w:val="21"/>
                <w:shd w:val="nil" w:color="auto" w:fill="auto"/>
                <w:rtl w:val="0"/>
                <w:lang w:val="ru-RU"/>
              </w:rPr>
              <w:t>456</w:t>
            </w:r>
            <w:r>
              <w:rPr>
                <w:b w:val="1"/>
                <w:bCs w:val="1"/>
                <w:spacing w:val="-3"/>
                <w:sz w:val="21"/>
                <w:szCs w:val="21"/>
                <w:shd w:val="nil" w:color="auto" w:fill="auto"/>
                <w:rtl w:val="0"/>
                <w:lang w:val="ru-RU"/>
              </w:rPr>
              <w:t> </w:t>
            </w:r>
            <w:r>
              <w:rPr>
                <w:b w:val="1"/>
                <w:bCs w:val="1"/>
                <w:spacing w:val="-3"/>
                <w:sz w:val="21"/>
                <w:szCs w:val="21"/>
                <w:shd w:val="nil" w:color="auto" w:fill="auto"/>
                <w:rtl w:val="0"/>
                <w:lang w:val="ru-RU"/>
              </w:rPr>
              <w:t>935 (</w:t>
            </w:r>
            <w:r>
              <w:rPr>
                <w:b w:val="1"/>
                <w:bCs w:val="1"/>
                <w:spacing w:val="-3"/>
                <w:sz w:val="21"/>
                <w:szCs w:val="21"/>
                <w:shd w:val="nil" w:color="auto" w:fill="auto"/>
                <w:rtl w:val="0"/>
                <w:lang w:val="ru-RU"/>
              </w:rPr>
              <w:t>Пятьсот пятьдесят три миллиона четыреста пятьдесят шесть тысяч девятьсот тридцать пять</w:t>
            </w:r>
            <w:r>
              <w:rPr>
                <w:b w:val="1"/>
                <w:bCs w:val="1"/>
                <w:spacing w:val="-3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b w:val="1"/>
                <w:bCs w:val="1"/>
                <w:spacing w:val="-3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рублей </w:t>
            </w:r>
            <w:r>
              <w:rPr>
                <w:b w:val="1"/>
                <w:bCs w:val="1"/>
                <w:spacing w:val="-3"/>
                <w:sz w:val="21"/>
                <w:szCs w:val="21"/>
                <w:shd w:val="nil" w:color="auto" w:fill="auto"/>
                <w:rtl w:val="0"/>
                <w:lang w:val="ru-RU"/>
              </w:rPr>
              <w:t>72</w:t>
            </w:r>
            <w:r>
              <w:rPr>
                <w:b w:val="1"/>
                <w:bCs w:val="1"/>
                <w:spacing w:val="-3"/>
                <w:sz w:val="21"/>
                <w:szCs w:val="21"/>
                <w:shd w:val="nil" w:color="auto" w:fill="auto"/>
                <w:rtl w:val="0"/>
                <w:lang w:val="ru-RU"/>
              </w:rPr>
              <w:t> копейки</w:t>
            </w:r>
            <w:r>
              <w:rPr>
                <w:b w:val="1"/>
                <w:bCs w:val="1"/>
                <w:spacing w:val="-3"/>
                <w:sz w:val="21"/>
                <w:szCs w:val="21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Default"/>
              <w:bidi w:val="0"/>
              <w:spacing w:before="60"/>
              <w:ind w:left="0" w:right="0" w:firstLine="426"/>
              <w:jc w:val="both"/>
              <w:rPr>
                <w:b w:val="1"/>
                <w:bCs w:val="1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порядок и сроки внесения вклада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вклад вносится в срок до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31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года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включительно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посредством передачи в собственность Дочернего общества принадлежащих Участнику обыкновенных акций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ORANGE RESTAURANTS BRANDS LIMITED (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ОРАНЖ РЕСТОРАНТС БРЭНДС ЛИМИТЕД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юридического лица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учрежденного по законодательству Республики Кипр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рег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 №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HE 207189,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в количестве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148 (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сто сорок восемь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штук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номинальной стоимостью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1 (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один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евро за штуку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что составляет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13,4545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 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%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уставного капитала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ORANGE RESTAURANTS BRANDS LIMITED (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ОРАНЖ РЕСТОРАНТС БРЭНДС ЛИМИТЕД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);</w:t>
            </w:r>
          </w:p>
          <w:p>
            <w:pPr>
              <w:pStyle w:val="Default"/>
              <w:bidi w:val="0"/>
              <w:spacing w:before="60"/>
              <w:ind w:left="0" w:right="0" w:firstLine="426"/>
              <w:jc w:val="both"/>
              <w:rPr>
                <w:rtl w:val="0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вклад не изменяет размер и номинальную стоимость долей участников Дочернего общества в уставном капитале Дочернего общества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05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28" w:lineRule="auto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Number of votes on this agenda item of the general meeting that were not counted due to invalidation of the ballots or on other grounds was 0.</w:t>
            </w:r>
          </w:p>
          <w:p>
            <w:pPr>
              <w:pStyle w:val="Normal.0"/>
              <w:spacing w:line="228" w:lineRule="auto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Resolution was passed.</w:t>
            </w:r>
          </w:p>
          <w:p>
            <w:pPr>
              <w:pStyle w:val="Normal.0"/>
              <w:bidi w:val="0"/>
              <w:spacing w:before="6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The wording of the resolution passed by the general meeting on this agenda item of the general meeting:</w:t>
            </w:r>
          </w:p>
          <w:p>
            <w:pPr>
              <w:pStyle w:val="Normal.0"/>
              <w:bidi w:val="0"/>
              <w:spacing w:before="120" w:line="22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To approve the related-party transaction,  namely, making a contribution to the assets of a subsidiary with conclusion of an agreement on making such contribution on the following terms and conditions:</w:t>
            </w:r>
          </w:p>
          <w:p>
            <w:pPr>
              <w:pStyle w:val="Default"/>
              <w:bidi w:val="0"/>
              <w:spacing w:before="60"/>
              <w:ind w:left="0" w:right="0" w:firstLine="425"/>
              <w:jc w:val="both"/>
              <w:rPr>
                <w:b w:val="1"/>
                <w:bCs w:val="1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Parties and beneficiaries to the transaction: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PJSC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 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ROSINTER RESTAURANTS HOLDING (the Participant, the Company), ROSINTER RESTAURANTS LLC (TIN 7737115648) (the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“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Subsidiary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”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), there are no beneficiaries (other than the parties to the transaction).</w:t>
            </w:r>
          </w:p>
          <w:p>
            <w:pPr>
              <w:pStyle w:val="Default"/>
              <w:bidi w:val="0"/>
              <w:spacing w:before="60"/>
              <w:ind w:left="0" w:right="0" w:firstLine="425"/>
              <w:jc w:val="both"/>
              <w:rPr>
                <w:b w:val="1"/>
                <w:bCs w:val="1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Subject matter and other material terms of the transaction: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the Company shall make a contribution  to the assets of the Subsidiary:</w:t>
            </w:r>
          </w:p>
          <w:p>
            <w:pPr>
              <w:pStyle w:val="Default"/>
              <w:bidi w:val="0"/>
              <w:spacing w:before="60"/>
              <w:ind w:left="0" w:right="0" w:firstLine="425"/>
              <w:jc w:val="both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- amount of the contribution: 553,456,935 (Five hundred fifty-three million four hundred fifty-six thousand nine hundred thirty-five) rubles 72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kopecks;</w:t>
            </w:r>
          </w:p>
          <w:p>
            <w:pPr>
              <w:pStyle w:val="Default"/>
              <w:bidi w:val="0"/>
              <w:spacing w:before="60"/>
              <w:ind w:left="0" w:right="0" w:firstLine="425"/>
              <w:jc w:val="both"/>
              <w:rPr>
                <w:b w:val="1"/>
                <w:bCs w:val="1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- procedure and terms of contribution: the contribution shall be made until December 31, 2023 (inclusive) by transferring to the ownership of the Subsidiary the ordinary shares of ORANGE RESTAURANTS BRANDS LIMITED (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ОРАНЖ РЕСТОРАНТС БРЭНДС ЛИМИТЕД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), a legal entity incorporated under the laws of the Republic of Cyprus, reg. No. HE 207189, owned by the Participant, in the amount of 148 (one hundred and forty-eight) shares, with a nominal value of 1 (one) euro per share, which constitutes 13.4545% of the share capital of ORANGE RESTAURANTS  BRANDS LIMITED (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ОРАНЖ РЕСТОРАНТС БРЭНДС ЛИМИТЕД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);</w:t>
            </w:r>
          </w:p>
          <w:p>
            <w:pPr>
              <w:pStyle w:val="Default"/>
              <w:bidi w:val="0"/>
              <w:spacing w:before="60"/>
              <w:ind w:left="0" w:right="0" w:firstLine="425"/>
              <w:jc w:val="both"/>
              <w:rPr>
                <w:rtl w:val="0"/>
              </w:rPr>
            </w:pP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- the contribution shall not change the size and nominal value of shares of the Subsidiary's participants in the authorized capital of the Subsidiary.</w:t>
            </w:r>
          </w:p>
        </w:tc>
      </w:tr>
      <w:tr>
        <w:tblPrEx>
          <w:shd w:val="clear" w:color="auto" w:fill="ced7e7"/>
        </w:tblPrEx>
        <w:trPr>
          <w:trHeight w:val="1161" w:hRule="atLeast"/>
        </w:trPr>
        <w:tc>
          <w:tcPr>
            <w:tcW w:type="dxa" w:w="5155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16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pacing w:val="-1"/>
                <w:sz w:val="17"/>
                <w:szCs w:val="17"/>
                <w:shd w:val="nil" w:color="auto" w:fill="auto"/>
              </w:rPr>
            </w:pPr>
            <w:r>
              <w:rPr>
                <w:rFonts w:ascii="Times New Roman" w:hAnsi="Times New Roman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* </w:t>
            </w:r>
            <w:r>
              <w:rPr>
                <w:rFonts w:ascii="Times New Roman" w:hAnsi="Times New Roman" w:hint="default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ru-RU"/>
              </w:rPr>
              <w:t xml:space="preserve">Положение Центрального Банка Российской Федерации от </w:t>
            </w:r>
            <w:r>
              <w:rPr>
                <w:rFonts w:ascii="Times New Roman" w:hAnsi="Times New Roman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16.11.2018 </w:t>
            </w:r>
            <w:r>
              <w:rPr>
                <w:rFonts w:ascii="Times New Roman" w:hAnsi="Times New Roman" w:hint="default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г</w:t>
            </w:r>
            <w:r>
              <w:rPr>
                <w:rFonts w:ascii="Times New Roman" w:hAnsi="Times New Roman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№ </w:t>
            </w:r>
            <w:r>
              <w:rPr>
                <w:rFonts w:ascii="Times New Roman" w:hAnsi="Times New Roman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660-</w:t>
            </w:r>
            <w:r>
              <w:rPr>
                <w:rFonts w:ascii="Times New Roman" w:hAnsi="Times New Roman" w:hint="default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ru-RU"/>
              </w:rPr>
              <w:t xml:space="preserve">П «Об общих собраниях акционеров» </w:t>
            </w:r>
            <w:r>
              <w:rPr>
                <w:rFonts w:ascii="Times New Roman" w:hAnsi="Times New Roman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ru-RU"/>
              </w:rPr>
              <w:t xml:space="preserve">далее </w:t>
            </w:r>
            <w:r>
              <w:rPr>
                <w:rFonts w:ascii="Times New Roman" w:hAnsi="Times New Roman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ru-RU"/>
              </w:rPr>
              <w:t>«Положение»</w:t>
            </w:r>
            <w:r>
              <w:rPr>
                <w:rFonts w:ascii="Times New Roman" w:hAnsi="Times New Roman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spacing w:before="60" w:line="21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**</w:t>
            </w:r>
            <w:r>
              <w:rPr>
                <w:rFonts w:ascii="Times New Roman" w:hAnsi="Times New Roman" w:hint="default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Выделенная курсивом информация уточняется в связи с допущенной по техническим причинам опечаткой</w:t>
            </w:r>
            <w:r>
              <w:rPr>
                <w:rFonts w:ascii="Times New Roman" w:hAnsi="Times New Roman"/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содержащейся в ранее размещенном на сайте Общества отчете об итогах голосования</w:t>
            </w:r>
            <w:r>
              <w:rPr>
                <w:rFonts w:ascii="Times New Roman" w:hAnsi="Times New Roman"/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05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29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pacing w:val="-1"/>
                <w:sz w:val="17"/>
                <w:szCs w:val="17"/>
                <w:shd w:val="nil" w:color="auto" w:fill="auto"/>
              </w:rPr>
            </w:pPr>
            <w:r>
              <w:rPr>
                <w:rFonts w:ascii="Times New Roman" w:hAnsi="Times New Roman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* The Bank of Russia Regulation No. 660-P dated November 16, 2018 on General Meetings of Shareholders (hereinafter referred to as the </w:t>
            </w:r>
            <w:r>
              <w:rPr>
                <w:rFonts w:ascii="Times New Roman" w:hAnsi="Times New Roman" w:hint="default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Times New Roman" w:hAnsi="Times New Roman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Regulation</w:t>
            </w:r>
            <w:r>
              <w:rPr>
                <w:rFonts w:ascii="Times New Roman" w:hAnsi="Times New Roman" w:hint="default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”</w:t>
            </w:r>
            <w:r>
              <w:rPr>
                <w:rFonts w:ascii="Times New Roman" w:hAnsi="Times New Roman"/>
                <w:i w:val="1"/>
                <w:iCs w:val="1"/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spacing w:before="60" w:line="229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** The information in italics is clarified due to  a technical misprint in the voting results report previously posted on the Company</w:t>
            </w:r>
            <w:r>
              <w:rPr>
                <w:rFonts w:ascii="Times New Roman" w:hAnsi="Times New Roman" w:hint="default"/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s website</w:t>
            </w:r>
          </w:p>
        </w:tc>
      </w:tr>
    </w:tbl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</w:tabs>
        <w:ind w:left="324" w:hanging="324"/>
        <w:rPr>
          <w:rFonts w:ascii="Times New Roman" w:cs="Times New Roman" w:hAnsi="Times New Roman" w:eastAsia="Times New Roman"/>
          <w:i w:val="1"/>
          <w:iCs w:val="1"/>
          <w:spacing w:val="0"/>
          <w:lang w:val="en-US"/>
        </w:rPr>
      </w:pPr>
    </w:p>
    <w:p>
      <w:pPr>
        <w:pStyle w:val="Основной текст A"/>
        <w:widowControl w:val="0"/>
        <w:suppressAutoHyphens w:val="1"/>
        <w:ind w:left="216" w:hanging="216"/>
        <w:jc w:val="left"/>
        <w:rPr>
          <w:i w:val="1"/>
          <w:iCs w:val="1"/>
          <w:spacing w:val="0"/>
          <w:sz w:val="22"/>
          <w:szCs w:val="22"/>
          <w:lang w:val="en-US"/>
        </w:rPr>
      </w:pPr>
    </w:p>
    <w:p>
      <w:pPr>
        <w:pStyle w:val="Основной текст A"/>
        <w:widowControl w:val="0"/>
        <w:suppressAutoHyphens w:val="1"/>
        <w:ind w:left="108" w:hanging="108"/>
        <w:jc w:val="left"/>
        <w:rPr>
          <w:i w:val="1"/>
          <w:iCs w:val="1"/>
          <w:spacing w:val="0"/>
          <w:sz w:val="2"/>
          <w:szCs w:val="2"/>
          <w:lang w:val="en-US"/>
        </w:rPr>
      </w:pPr>
    </w:p>
    <w:tbl>
      <w:tblPr>
        <w:tblW w:w="1023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67"/>
        <w:gridCol w:w="5068"/>
      </w:tblGrid>
      <w:tr>
        <w:tblPrEx>
          <w:shd w:val="clear" w:color="auto" w:fill="ced7e7"/>
        </w:tblPrEx>
        <w:trPr>
          <w:trHeight w:val="5518" w:hRule="atLeast"/>
        </w:trPr>
        <w:tc>
          <w:tcPr>
            <w:tcW w:type="dxa" w:w="5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ind w:firstLine="426"/>
              <w:jc w:val="both"/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Цена сделки</w:t>
            </w:r>
            <w:r>
              <w:rPr>
                <w:b w:val="1"/>
                <w:bCs w:val="1"/>
                <w:i w:val="1"/>
                <w:i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553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 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456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 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935 (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Пятьсот пятьдесят три миллиона четыреста пятьдесят шесть тысяч девять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сот тридцать пять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рублей 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72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 копейки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что состав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ляет 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12,17 % 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от балансовой стоимости активов Общества по данным его бухгалтерской 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финан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совой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отчетности на последнюю отчетную дату</w:t>
            </w:r>
            <w:r>
              <w:rPr>
                <w:b w:val="1"/>
                <w:bCs w:val="1"/>
                <w:spacing w:val="-4"/>
                <w:sz w:val="21"/>
                <w:szCs w:val="21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Default"/>
              <w:bidi w:val="0"/>
              <w:ind w:left="0" w:right="0" w:firstLine="426"/>
              <w:jc w:val="both"/>
              <w:rPr>
                <w:b w:val="1"/>
                <w:bCs w:val="1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21"/>
                <w:szCs w:val="21"/>
                <w:shd w:val="nil" w:color="auto" w:fill="auto"/>
                <w:rtl w:val="0"/>
                <w:lang w:val="ru-RU"/>
              </w:rPr>
              <w:t>Заинтересованные в совершении сделки лица и основания их признания таковыми</w:t>
            </w:r>
            <w:r>
              <w:rPr>
                <w:b w:val="1"/>
                <w:bCs w:val="1"/>
                <w:i w:val="1"/>
                <w:iCs w:val="1"/>
                <w:sz w:val="21"/>
                <w:szCs w:val="21"/>
                <w:shd w:val="nil" w:color="auto" w:fill="auto"/>
                <w:rtl w:val="0"/>
                <w:lang w:val="ru-RU"/>
              </w:rPr>
              <w:t>: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 президент и член Совета директоров Общества Костеева Маргарита Валерьевна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лицо одновременно занимает должности в органах управления юридического лица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являющегося стороной сделки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>является Генеральным директором ООО «РОСИНТЕР РЕСТОРАНТС»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). </w:t>
            </w:r>
          </w:p>
          <w:p>
            <w:pPr>
              <w:pStyle w:val="Normal.0"/>
              <w:bidi w:val="0"/>
              <w:spacing w:before="120" w:after="120" w:line="228" w:lineRule="auto"/>
              <w:ind w:left="0" w:right="0" w:firstLine="426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Подтвердить обязанность Президента Общества Костеевой Маргариты Валерьевны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или иного уполномоченного ею лица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подписать от имени Общества любые документы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необходимые для внесения вышеуказанного вклада и передачи вышеуказанных акций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ORANGE RESTAURANTS BRANDS LIMITED (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ОРАНЖ РЕСТОРАНТС БРЭНДС ЛИМИТЕД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).</w:t>
            </w:r>
          </w:p>
        </w:tc>
        <w:tc>
          <w:tcPr>
            <w:tcW w:type="dxa" w:w="50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ind w:firstLine="425"/>
              <w:jc w:val="both"/>
              <w:rPr>
                <w:b w:val="1"/>
                <w:bCs w:val="1"/>
                <w:sz w:val="21"/>
                <w:szCs w:val="21"/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Transaction Price: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553,456,935 (Five hundred fifty-three million four hundred fifty-six thousand nine hundred thirty-five) rubles 72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 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kopecks, which is 12.17% of the book value of the Company's assets according to its accounting (financial) statements as of the last reporting date.</w:t>
            </w:r>
          </w:p>
          <w:p>
            <w:pPr>
              <w:pStyle w:val="Default"/>
              <w:bidi w:val="0"/>
              <w:ind w:left="0" w:right="0" w:firstLine="425"/>
              <w:jc w:val="both"/>
              <w:rPr>
                <w:b w:val="1"/>
                <w:bCs w:val="1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Persons interested in the transaction and the grounds for recognizing them as interested: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Margarita Kosteeva, the Company's President and member of the Board of Directors; the person simultaneously holds positions in the management bodies of the legal entity being a party to the transaction (the person is the General Director of ROSINTER RESTAURANTS LLC). </w:t>
            </w:r>
          </w:p>
          <w:p>
            <w:pPr>
              <w:pStyle w:val="Normal.0"/>
              <w:bidi w:val="0"/>
              <w:spacing w:before="120" w:after="120" w:line="228" w:lineRule="auto"/>
              <w:ind w:left="0" w:right="0" w:firstLine="426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To confirm the obligation of the Company's President Margarita Kosteeva (or other person authorized by her) to sign on behalf of the Company any documents required to make the above-mentioned contribution and transfer the above-mentioned shares of ORANGE RESTAURANTS BRANDS LIMITED (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ОРАНЖ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РЕСТОРАНТС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БРЭНДС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ЛИМИТЕД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).</w:t>
            </w:r>
          </w:p>
        </w:tc>
      </w:tr>
    </w:tbl>
    <w:p>
      <w:pPr>
        <w:pStyle w:val="Основной текст A"/>
        <w:widowControl w:val="0"/>
        <w:suppressAutoHyphens w:val="1"/>
        <w:ind w:left="216" w:hanging="216"/>
        <w:jc w:val="left"/>
        <w:rPr>
          <w:i w:val="1"/>
          <w:iCs w:val="1"/>
          <w:spacing w:val="0"/>
          <w:sz w:val="2"/>
          <w:szCs w:val="2"/>
          <w:lang w:val="en-US"/>
        </w:rPr>
      </w:pPr>
    </w:p>
    <w:p>
      <w:pPr>
        <w:pStyle w:val="Основной текст A"/>
        <w:widowControl w:val="0"/>
        <w:suppressAutoHyphens w:val="1"/>
        <w:ind w:left="108" w:hanging="108"/>
        <w:jc w:val="left"/>
        <w:rPr>
          <w:i w:val="1"/>
          <w:iCs w:val="1"/>
          <w:spacing w:val="0"/>
          <w:sz w:val="22"/>
          <w:szCs w:val="22"/>
          <w:lang w:val="en-US"/>
        </w:rPr>
      </w:pPr>
    </w:p>
    <w:p>
      <w:pPr>
        <w:pStyle w:val="Normal.0"/>
        <w:rPr>
          <w:sz w:val="20"/>
          <w:szCs w:val="20"/>
          <w:lang w:val="en-US"/>
        </w:rPr>
      </w:pPr>
    </w:p>
    <w:p>
      <w:pPr>
        <w:pStyle w:val="Основной текст A"/>
        <w:suppressAutoHyphens w:val="1"/>
        <w:spacing w:line="230" w:lineRule="exact"/>
        <w:rPr>
          <w:i w:val="1"/>
          <w:iCs w:val="1"/>
          <w:spacing w:val="0"/>
          <w:sz w:val="22"/>
          <w:szCs w:val="22"/>
          <w:lang w:val="en-US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pacing w:val="0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pacing w:val="0"/>
          <w:sz w:val="22"/>
          <w:szCs w:val="22"/>
          <w:rtl w:val="0"/>
          <w:lang w:val="ru-RU"/>
        </w:rPr>
        <w:t>Председательствующий на общем собрании</w:t>
        <w:tab/>
        <w:tab/>
        <w:tab/>
        <w:tab/>
      </w:r>
      <w:r>
        <w:rPr>
          <w:rFonts w:ascii="Times New Roman" w:hAnsi="Times New Roman" w:hint="default"/>
          <w:b w:val="1"/>
          <w:bCs w:val="1"/>
          <w:spacing w:val="-6"/>
          <w:sz w:val="22"/>
          <w:szCs w:val="22"/>
          <w:rtl w:val="0"/>
          <w:lang w:val="ru-RU"/>
        </w:rPr>
        <w:t>Р</w:t>
      </w:r>
      <w:r>
        <w:rPr>
          <w:rFonts w:ascii="Times New Roman" w:hAnsi="Times New Roman"/>
          <w:b w:val="1"/>
          <w:bCs w:val="1"/>
          <w:spacing w:val="-6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pacing w:val="-6"/>
          <w:sz w:val="22"/>
          <w:szCs w:val="22"/>
          <w:rtl w:val="0"/>
          <w:lang w:val="ru-RU"/>
        </w:rPr>
        <w:t>Ордовский</w:t>
      </w:r>
      <w:r>
        <w:rPr>
          <w:rFonts w:ascii="Times New Roman" w:hAnsi="Times New Roman"/>
          <w:b w:val="1"/>
          <w:bCs w:val="1"/>
          <w:spacing w:val="-6"/>
          <w:sz w:val="22"/>
          <w:szCs w:val="22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pacing w:val="-6"/>
          <w:sz w:val="22"/>
          <w:szCs w:val="22"/>
          <w:rtl w:val="0"/>
          <w:lang w:val="ru-RU"/>
        </w:rPr>
        <w:t>Танаевский Бланко</w:t>
      </w:r>
    </w:p>
    <w:p>
      <w:pPr>
        <w:pStyle w:val="Основной текст A"/>
        <w:suppressAutoHyphens w:val="1"/>
        <w:spacing w:line="230" w:lineRule="exact"/>
        <w:rPr>
          <w:lang w:val="en-US"/>
        </w:rPr>
      </w:pPr>
      <w:r>
        <w:rPr>
          <w:i w:val="1"/>
          <w:iCs w:val="1"/>
          <w:spacing w:val="0"/>
          <w:sz w:val="22"/>
          <w:szCs w:val="22"/>
          <w:rtl w:val="0"/>
          <w:lang w:val="en-US"/>
        </w:rPr>
        <w:t>Chairman of the general meeting</w:t>
        <w:tab/>
        <w:tab/>
        <w:tab/>
        <w:tab/>
        <w:tab/>
        <w:tab/>
        <w:t>R. Ordovsky-T</w:t>
      </w:r>
      <w:r>
        <w:rPr>
          <w:i w:val="1"/>
          <w:iCs w:val="1"/>
          <w:rtl w:val="0"/>
          <w:lang w:val="en-US"/>
        </w:rPr>
        <w:t>anaevsky Blanco</w:t>
      </w:r>
    </w:p>
    <w:p>
      <w:pPr>
        <w:pStyle w:val="Основной текст A"/>
        <w:suppressAutoHyphens w:val="1"/>
        <w:spacing w:line="230" w:lineRule="exact"/>
        <w:rPr>
          <w:i w:val="1"/>
          <w:iCs w:val="1"/>
          <w:spacing w:val="0"/>
          <w:sz w:val="22"/>
          <w:szCs w:val="22"/>
          <w:lang w:val="en-US"/>
        </w:rPr>
      </w:pPr>
    </w:p>
    <w:p>
      <w:pPr>
        <w:pStyle w:val="Основной текст A"/>
        <w:suppressAutoHyphens w:val="1"/>
        <w:spacing w:line="230" w:lineRule="exact"/>
        <w:rPr>
          <w:i w:val="1"/>
          <w:iCs w:val="1"/>
          <w:spacing w:val="0"/>
          <w:sz w:val="22"/>
          <w:szCs w:val="22"/>
          <w:lang w:val="en-US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pacing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Секретарь общего собрания</w:t>
        <w:tab/>
        <w:tab/>
        <w:tab/>
        <w:tab/>
        <w:tab/>
        <w:tab/>
        <w:tab/>
        <w:t>М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Надденная</w:t>
      </w:r>
    </w:p>
    <w:p>
      <w:pPr>
        <w:pStyle w:val="Основной текст A"/>
        <w:suppressAutoHyphens w:val="1"/>
        <w:spacing w:line="230" w:lineRule="exact"/>
        <w:rPr>
          <w:i w:val="1"/>
          <w:iCs w:val="1"/>
          <w:spacing w:val="0"/>
          <w:sz w:val="22"/>
          <w:szCs w:val="22"/>
          <w:lang w:val="en-US"/>
        </w:rPr>
      </w:pPr>
      <w:r>
        <w:rPr>
          <w:i w:val="1"/>
          <w:iCs w:val="1"/>
          <w:spacing w:val="0"/>
          <w:sz w:val="22"/>
          <w:szCs w:val="22"/>
          <w:rtl w:val="0"/>
          <w:lang w:val="en-US"/>
        </w:rPr>
        <w:t>The secretary of the general meeting</w:t>
        <w:tab/>
        <w:tab/>
        <w:tab/>
        <w:tab/>
        <w:tab/>
        <w:tab/>
        <w:t>M.A. Naddennaya</w:t>
      </w:r>
    </w:p>
    <w:p>
      <w:pPr>
        <w:pStyle w:val="Основной текст A"/>
        <w:suppressAutoHyphens w:val="1"/>
        <w:spacing w:line="230" w:lineRule="exact"/>
        <w:rPr>
          <w:i w:val="1"/>
          <w:iCs w:val="1"/>
          <w:spacing w:val="0"/>
          <w:sz w:val="22"/>
          <w:szCs w:val="22"/>
          <w:lang w:val="en-US"/>
        </w:rPr>
      </w:pPr>
    </w:p>
    <w:p>
      <w:pPr>
        <w:pStyle w:val="Основной текст A"/>
        <w:suppressAutoHyphens w:val="1"/>
        <w:spacing w:line="230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0"/>
          <w:sz w:val="22"/>
          <w:szCs w:val="22"/>
          <w:lang w:val="en-US"/>
        </w:rPr>
        <w:br w:type="page"/>
      </w: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954" w:hanging="5953"/>
        <w:jc w:val="left"/>
        <w:rPr>
          <w:i w:val="1"/>
          <w:iCs w:val="1"/>
          <w:spacing w:val="0"/>
          <w:sz w:val="22"/>
          <w:szCs w:val="22"/>
          <w:lang w:val="en-US"/>
        </w:rPr>
      </w:pPr>
      <w:r>
        <w:rPr>
          <w:i w:val="1"/>
          <w:iCs w:val="1"/>
          <w:spacing w:val="0"/>
          <w:sz w:val="22"/>
          <w:szCs w:val="22"/>
          <w:lang w:val="en-US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-78762</wp:posOffset>
            </wp:positionV>
            <wp:extent cx="1904683" cy="145798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683" cy="14579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954" w:firstLine="0"/>
        <w:jc w:val="left"/>
        <w:rPr>
          <w:i w:val="1"/>
          <w:iCs w:val="1"/>
          <w:spacing w:val="0"/>
          <w:sz w:val="22"/>
          <w:szCs w:val="22"/>
          <w:lang w:val="en-US"/>
        </w:rPr>
      </w:pP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954" w:firstLine="0"/>
        <w:jc w:val="left"/>
        <w:rPr>
          <w:i w:val="1"/>
          <w:iCs w:val="1"/>
          <w:spacing w:val="0"/>
          <w:sz w:val="22"/>
          <w:szCs w:val="22"/>
          <w:lang w:val="en-US"/>
        </w:rPr>
      </w:pP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954" w:firstLine="0"/>
        <w:jc w:val="left"/>
        <w:rPr>
          <w:rFonts w:ascii="Arial" w:cs="Arial" w:hAnsi="Arial" w:eastAsia="Arial"/>
          <w:b w:val="1"/>
          <w:bCs w:val="1"/>
          <w:outline w:val="0"/>
          <w:color w:val="ff9900"/>
          <w:sz w:val="22"/>
          <w:szCs w:val="22"/>
          <w:u w:color="ff9900"/>
          <w14:textFill>
            <w14:solidFill>
              <w14:srgbClr w14:val="FF99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ff9900"/>
          <w:sz w:val="22"/>
          <w:szCs w:val="22"/>
          <w:u w:color="ff9900"/>
          <w:rtl w:val="0"/>
          <w:lang w:val="ru-RU"/>
          <w14:textFill>
            <w14:solidFill>
              <w14:srgbClr w14:val="FF9900"/>
            </w14:solidFill>
          </w14:textFill>
        </w:rPr>
        <w:t>ПАО «РОСИНТЕР РЕСТОРАНТС ХОЛДИНГ»</w:t>
      </w: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954" w:firstLine="0"/>
        <w:jc w:val="left"/>
        <w:rPr>
          <w:rFonts w:ascii="Arial" w:cs="Arial" w:hAnsi="Arial" w:eastAsia="Arial"/>
          <w:outline w:val="0"/>
          <w:color w:val="727272"/>
          <w:sz w:val="22"/>
          <w:szCs w:val="22"/>
          <w:u w:color="727272"/>
          <w14:textFill>
            <w14:solidFill>
              <w14:srgbClr w14:val="727272"/>
            </w14:solidFill>
          </w14:textFill>
        </w:rPr>
      </w:pPr>
      <w:r>
        <w:rPr>
          <w:rFonts w:ascii="Arial" w:hAnsi="Arial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 xml:space="preserve">111024, </w:t>
      </w:r>
      <w:r>
        <w:rPr>
          <w:rFonts w:ascii="Arial" w:hAnsi="Arial" w:hint="default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>Россия</w:t>
      </w:r>
      <w:r>
        <w:rPr>
          <w:rFonts w:ascii="Arial" w:hAnsi="Arial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>Москва</w:t>
      </w:r>
      <w:r>
        <w:rPr>
          <w:rFonts w:ascii="Arial" w:hAnsi="Arial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>,</w:t>
      </w: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954" w:firstLine="0"/>
        <w:jc w:val="left"/>
        <w:rPr>
          <w:rFonts w:ascii="Arial" w:cs="Arial" w:hAnsi="Arial" w:eastAsia="Arial"/>
          <w:outline w:val="0"/>
          <w:color w:val="727272"/>
          <w:sz w:val="22"/>
          <w:szCs w:val="22"/>
          <w:u w:color="727272"/>
          <w14:textFill>
            <w14:solidFill>
              <w14:srgbClr w14:val="727272"/>
            </w14:solidFill>
          </w14:textFill>
        </w:rPr>
      </w:pPr>
      <w:r>
        <w:rPr>
          <w:rFonts w:ascii="Arial" w:hAnsi="Arial" w:hint="default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>ул</w:t>
      </w:r>
      <w:r>
        <w:rPr>
          <w:rFonts w:ascii="Arial" w:hAnsi="Arial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>Душинская</w:t>
      </w:r>
      <w:r>
        <w:rPr>
          <w:rFonts w:ascii="Arial" w:hAnsi="Arial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>д</w:t>
      </w:r>
      <w:r>
        <w:rPr>
          <w:rFonts w:ascii="Arial" w:hAnsi="Arial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 xml:space="preserve">. 7, </w:t>
      </w:r>
      <w:r>
        <w:rPr>
          <w:rFonts w:ascii="Arial" w:hAnsi="Arial" w:hint="default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>стр</w:t>
      </w:r>
      <w:r>
        <w:rPr>
          <w:rFonts w:ascii="Arial" w:hAnsi="Arial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>. 1</w:t>
      </w: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954" w:firstLine="0"/>
        <w:jc w:val="left"/>
        <w:rPr>
          <w:rFonts w:ascii="Arial" w:cs="Arial" w:hAnsi="Arial" w:eastAsia="Arial"/>
          <w:sz w:val="22"/>
          <w:szCs w:val="22"/>
        </w:rPr>
      </w:pP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954" w:firstLine="0"/>
        <w:jc w:val="left"/>
        <w:rPr>
          <w:rFonts w:ascii="Arial" w:cs="Arial" w:hAnsi="Arial" w:eastAsia="Arial"/>
          <w:outline w:val="0"/>
          <w:color w:val="727272"/>
          <w:sz w:val="22"/>
          <w:szCs w:val="22"/>
          <w:u w:color="727272"/>
          <w14:textFill>
            <w14:solidFill>
              <w14:srgbClr w14:val="727272"/>
            </w14:solidFill>
          </w14:textFill>
        </w:rPr>
      </w:pP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954" w:firstLine="0"/>
        <w:jc w:val="left"/>
        <w:rPr>
          <w:rFonts w:ascii="Arial" w:cs="Arial" w:hAnsi="Arial" w:eastAsia="Arial"/>
          <w:outline w:val="0"/>
          <w:color w:val="727272"/>
          <w:sz w:val="22"/>
          <w:szCs w:val="22"/>
          <w:u w:color="727272"/>
          <w14:textFill>
            <w14:solidFill>
              <w14:srgbClr w14:val="727272"/>
            </w14:solidFill>
          </w14:textFill>
        </w:rPr>
      </w:pPr>
      <w:r>
        <w:rPr>
          <w:outline w:val="0"/>
          <w:color w:val="727272"/>
          <w:sz w:val="22"/>
          <w:szCs w:val="22"/>
          <w:u w:color="727272"/>
          <w14:textFill>
            <w14:solidFill>
              <w14:srgbClr w14:val="727272"/>
            </w14:solidFill>
          </w14:textFill>
        </w:rPr>
        <w:drawing xmlns:a="http://schemas.openxmlformats.org/drawingml/2006/main">
          <wp:anchor distT="18096" distB="18096" distL="18096" distR="18096" simplePos="0" relativeHeight="251659264" behindDoc="0" locked="0" layoutInCell="1" allowOverlap="1">
            <wp:simplePos x="0" y="0"/>
            <wp:positionH relativeFrom="column">
              <wp:posOffset>3764279</wp:posOffset>
            </wp:positionH>
            <wp:positionV relativeFrom="line">
              <wp:posOffset>7620</wp:posOffset>
            </wp:positionV>
            <wp:extent cx="123825" cy="268605"/>
            <wp:effectExtent l="0" t="0" r="0" b="0"/>
            <wp:wrapThrough wrapText="bothSides" distL="18096" distR="18096">
              <wp:wrapPolygon edited="1">
                <wp:start x="7200" y="584"/>
                <wp:lineTo x="9078" y="876"/>
                <wp:lineTo x="9078" y="2919"/>
                <wp:lineTo x="9078" y="4524"/>
                <wp:lineTo x="12209" y="6714"/>
                <wp:lineTo x="15965" y="6714"/>
                <wp:lineTo x="17530" y="7443"/>
                <wp:lineTo x="16904" y="8319"/>
                <wp:lineTo x="11583" y="8173"/>
                <wp:lineTo x="6261" y="4670"/>
                <wp:lineTo x="5322" y="1605"/>
                <wp:lineTo x="5322" y="14011"/>
                <wp:lineTo x="5948" y="14011"/>
                <wp:lineTo x="15652" y="14449"/>
                <wp:lineTo x="5948" y="14303"/>
                <wp:lineTo x="5948" y="17659"/>
                <wp:lineTo x="15652" y="17659"/>
                <wp:lineTo x="15652" y="14449"/>
                <wp:lineTo x="5948" y="14011"/>
                <wp:lineTo x="16278" y="14011"/>
                <wp:lineTo x="16278" y="17659"/>
                <wp:lineTo x="19722" y="17951"/>
                <wp:lineTo x="19722" y="20724"/>
                <wp:lineTo x="1878" y="20724"/>
                <wp:lineTo x="1878" y="17951"/>
                <wp:lineTo x="5322" y="17659"/>
                <wp:lineTo x="5322" y="14011"/>
                <wp:lineTo x="5322" y="1605"/>
                <wp:lineTo x="7200" y="584"/>
              </wp:wrapPolygon>
            </wp:wrapThrough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68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 xml:space="preserve">      (7</w:t>
      </w:r>
      <w:r>
        <w:rPr>
          <w:rFonts w:ascii="Arial" w:hAnsi="Arial" w:hint="default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>–</w:t>
      </w:r>
      <w:r>
        <w:rPr>
          <w:rFonts w:ascii="Arial" w:hAnsi="Arial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>495) 788 4488</w:t>
      </w: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954" w:firstLine="0"/>
        <w:jc w:val="left"/>
        <w:rPr>
          <w:rFonts w:ascii="Arial" w:cs="Arial" w:hAnsi="Arial" w:eastAsia="Arial"/>
          <w:outline w:val="0"/>
          <w:color w:val="727272"/>
          <w:sz w:val="22"/>
          <w:szCs w:val="22"/>
          <w:u w:color="727272"/>
          <w14:textFill>
            <w14:solidFill>
              <w14:srgbClr w14:val="727272"/>
            </w14:solidFill>
          </w14:textFill>
        </w:rPr>
      </w:pPr>
      <w:r>
        <w:rPr>
          <w:rFonts w:ascii="Arial" w:hAnsi="Arial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 xml:space="preserve">      (7</w:t>
      </w:r>
      <w:r>
        <w:rPr>
          <w:rFonts w:ascii="Arial" w:hAnsi="Arial" w:hint="default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>–</w:t>
      </w:r>
      <w:r>
        <w:rPr>
          <w:rFonts w:ascii="Arial" w:hAnsi="Arial"/>
          <w:outline w:val="0"/>
          <w:color w:val="727272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>495) 956 4704</w:t>
      </w: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954" w:firstLine="0"/>
        <w:jc w:val="left"/>
        <w:rPr>
          <w:rFonts w:ascii="Arial" w:cs="Arial" w:hAnsi="Arial" w:eastAsia="Arial"/>
          <w:outline w:val="0"/>
          <w:color w:val="727272"/>
          <w:spacing w:val="20"/>
          <w:sz w:val="22"/>
          <w:szCs w:val="22"/>
          <w:u w:color="727272"/>
          <w14:textFill>
            <w14:solidFill>
              <w14:srgbClr w14:val="727272"/>
            </w14:solidFill>
          </w14:textFill>
        </w:rPr>
      </w:pPr>
      <w:r>
        <w:rPr>
          <w:rFonts w:ascii="Arial" w:hAnsi="Arial"/>
          <w:outline w:val="0"/>
          <w:color w:val="727272"/>
          <w:spacing w:val="20"/>
          <w:sz w:val="22"/>
          <w:szCs w:val="22"/>
          <w:u w:color="727272"/>
          <w:rtl w:val="0"/>
          <w:lang w:val="en-US"/>
          <w14:textFill>
            <w14:solidFill>
              <w14:srgbClr w14:val="727272"/>
            </w14:solidFill>
          </w14:textFill>
        </w:rPr>
        <w:t>www</w:t>
      </w:r>
      <w:r>
        <w:rPr>
          <w:rFonts w:ascii="Arial" w:hAnsi="Arial"/>
          <w:outline w:val="0"/>
          <w:color w:val="727272"/>
          <w:spacing w:val="20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>.</w:t>
      </w:r>
      <w:r>
        <w:rPr>
          <w:rFonts w:ascii="Arial" w:hAnsi="Arial"/>
          <w:outline w:val="0"/>
          <w:color w:val="727272"/>
          <w:spacing w:val="20"/>
          <w:sz w:val="22"/>
          <w:szCs w:val="22"/>
          <w:u w:color="727272"/>
          <w:rtl w:val="0"/>
          <w:lang w:val="en-US"/>
          <w14:textFill>
            <w14:solidFill>
              <w14:srgbClr w14:val="727272"/>
            </w14:solidFill>
          </w14:textFill>
        </w:rPr>
        <w:t>rosinter</w:t>
      </w:r>
      <w:r>
        <w:rPr>
          <w:rFonts w:ascii="Arial" w:hAnsi="Arial"/>
          <w:outline w:val="0"/>
          <w:color w:val="727272"/>
          <w:spacing w:val="20"/>
          <w:sz w:val="22"/>
          <w:szCs w:val="22"/>
          <w:u w:color="727272"/>
          <w:rtl w:val="0"/>
          <w:lang w:val="ru-RU"/>
          <w14:textFill>
            <w14:solidFill>
              <w14:srgbClr w14:val="727272"/>
            </w14:solidFill>
          </w14:textFill>
        </w:rPr>
        <w:t>.</w:t>
      </w:r>
      <w:r>
        <w:rPr>
          <w:rFonts w:ascii="Arial" w:hAnsi="Arial"/>
          <w:outline w:val="0"/>
          <w:color w:val="727272"/>
          <w:spacing w:val="20"/>
          <w:sz w:val="22"/>
          <w:szCs w:val="22"/>
          <w:u w:color="727272"/>
          <w:rtl w:val="0"/>
          <w:lang w:val="en-US"/>
          <w14:textFill>
            <w14:solidFill>
              <w14:srgbClr w14:val="727272"/>
            </w14:solidFill>
          </w14:textFill>
        </w:rPr>
        <w:t>ru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jc w:val="left"/>
        <w:rPr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Исх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№ б</w:t>
      </w:r>
      <w:r>
        <w:rPr>
          <w:sz w:val="22"/>
          <w:szCs w:val="22"/>
          <w:rtl w:val="0"/>
          <w:lang w:val="ru-RU"/>
        </w:rPr>
        <w:t>/</w:t>
      </w:r>
      <w:r>
        <w:rPr>
          <w:sz w:val="22"/>
          <w:szCs w:val="22"/>
          <w:rtl w:val="0"/>
          <w:lang w:val="ru-RU"/>
        </w:rPr>
        <w:t>н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ru-RU"/>
        </w:rPr>
        <w:t>от «</w:t>
      </w:r>
      <w:r>
        <w:rPr>
          <w:sz w:val="22"/>
          <w:szCs w:val="22"/>
          <w:rtl w:val="0"/>
          <w:lang w:val="ru-RU"/>
        </w:rPr>
        <w:t>27</w:t>
      </w:r>
      <w:r>
        <w:rPr>
          <w:sz w:val="22"/>
          <w:szCs w:val="22"/>
          <w:rtl w:val="0"/>
          <w:lang w:val="ru-RU"/>
        </w:rPr>
        <w:t xml:space="preserve">» марта </w:t>
      </w:r>
      <w:r>
        <w:rPr>
          <w:sz w:val="22"/>
          <w:szCs w:val="22"/>
          <w:rtl w:val="0"/>
          <w:lang w:val="ru-RU"/>
        </w:rPr>
        <w:t xml:space="preserve">2024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jc w:val="left"/>
        <w:rPr>
          <w:sz w:val="22"/>
          <w:szCs w:val="22"/>
        </w:rPr>
      </w:pP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5953"/>
        <w:jc w:val="left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Акционерам ПАО «РОСИНТЕР </w:t>
      </w: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5953"/>
        <w:jc w:val="left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РЕСТОРАНТС ХОЛДИНГ»</w:t>
      </w: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0"/>
        <w:jc w:val="center"/>
        <w:rPr>
          <w:b w:val="1"/>
          <w:bCs w:val="1"/>
          <w:sz w:val="22"/>
          <w:szCs w:val="22"/>
        </w:rPr>
      </w:pP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88" w:lineRule="auto"/>
        <w:ind w:firstLine="65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 соответствии с предписанием Банка России № </w:t>
      </w:r>
      <w:r>
        <w:rPr>
          <w:sz w:val="24"/>
          <w:szCs w:val="24"/>
          <w:rtl w:val="0"/>
          <w:lang w:val="ru-RU"/>
        </w:rPr>
        <w:t xml:space="preserve">28-4-1/1483 </w:t>
      </w:r>
      <w:r>
        <w:rPr>
          <w:sz w:val="24"/>
          <w:szCs w:val="24"/>
          <w:rtl w:val="0"/>
          <w:lang w:val="ru-RU"/>
        </w:rPr>
        <w:t xml:space="preserve">от </w:t>
      </w:r>
      <w:r>
        <w:rPr>
          <w:sz w:val="24"/>
          <w:szCs w:val="24"/>
          <w:rtl w:val="0"/>
          <w:lang w:val="ru-RU"/>
        </w:rPr>
        <w:t xml:space="preserve">13.03.2024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ПАО «РОСИНТЕР РЕСТОРАНТС ХОЛДИНГ»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ОГРН </w:t>
      </w:r>
      <w:r>
        <w:rPr>
          <w:sz w:val="24"/>
          <w:szCs w:val="24"/>
          <w:rtl w:val="0"/>
          <w:lang w:val="ru-RU"/>
        </w:rPr>
        <w:t xml:space="preserve">1047796362305, </w:t>
      </w:r>
      <w:r>
        <w:rPr>
          <w:sz w:val="24"/>
          <w:szCs w:val="24"/>
          <w:rtl w:val="0"/>
          <w:lang w:val="ru-RU"/>
        </w:rPr>
        <w:t xml:space="preserve">направляет отчет об итогах голосования на внеочередном общем собрании акционеров эмитента </w:t>
      </w:r>
      <w:r>
        <w:rPr>
          <w:sz w:val="24"/>
          <w:szCs w:val="24"/>
          <w:rtl w:val="0"/>
          <w:lang w:val="ru-RU"/>
        </w:rPr>
        <w:t xml:space="preserve">31.01.2024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 (</w:t>
      </w:r>
      <w:r>
        <w:rPr>
          <w:sz w:val="24"/>
          <w:szCs w:val="24"/>
          <w:rtl w:val="0"/>
          <w:lang w:val="ru-RU"/>
        </w:rPr>
        <w:t>с уточнением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88" w:lineRule="auto"/>
        <w:ind w:firstLine="0"/>
      </w:pP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88" w:lineRule="auto"/>
        <w:ind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Приложение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 xml:space="preserve">по тексту на </w:t>
      </w:r>
      <w:r>
        <w:rPr>
          <w:sz w:val="24"/>
          <w:szCs w:val="24"/>
          <w:rtl w:val="0"/>
          <w:lang w:val="ru-RU"/>
        </w:rPr>
        <w:t xml:space="preserve">___ </w:t>
      </w:r>
      <w:r>
        <w:rPr>
          <w:sz w:val="24"/>
          <w:szCs w:val="24"/>
          <w:rtl w:val="0"/>
          <w:lang w:val="ru-RU"/>
        </w:rPr>
        <w:t>листах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sz w:val="22"/>
          <w:szCs w:val="22"/>
        </w:rPr>
      </w:pP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sz w:val="22"/>
          <w:szCs w:val="22"/>
        </w:rPr>
      </w:pP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Президент  </w:t>
      </w:r>
    </w:p>
    <w:p>
      <w:pPr>
        <w:pStyle w:val="Body Text Indent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0"/>
        <w:rPr>
          <w:i w:val="1"/>
          <w:iCs w:val="1"/>
          <w:spacing w:val="0"/>
          <w:sz w:val="22"/>
          <w:szCs w:val="22"/>
          <w:lang w:val="en-US"/>
        </w:rPr>
      </w:pPr>
      <w:r>
        <w:rPr>
          <w:b w:val="1"/>
          <w:bCs w:val="1"/>
          <w:sz w:val="22"/>
          <w:szCs w:val="22"/>
          <w:rtl w:val="0"/>
          <w:lang w:val="ru-RU"/>
        </w:rPr>
        <w:t>ПАО «РОСИНТЕР РЕСТОРАНТС ХОЛДИНГ»</w:t>
        <w:tab/>
        <w:tab/>
        <w:tab/>
        <w:t>п</w:t>
      </w:r>
      <w:r>
        <w:rPr>
          <w:b w:val="1"/>
          <w:bCs w:val="1"/>
          <w:sz w:val="22"/>
          <w:szCs w:val="22"/>
          <w:rtl w:val="0"/>
          <w:lang w:val="ru-RU"/>
        </w:rPr>
        <w:t>/</w:t>
      </w:r>
      <w:r>
        <w:rPr>
          <w:b w:val="1"/>
          <w:bCs w:val="1"/>
          <w:sz w:val="22"/>
          <w:szCs w:val="22"/>
          <w:rtl w:val="0"/>
          <w:lang w:val="ru-RU"/>
        </w:rPr>
        <w:t>п</w:t>
        <w:tab/>
        <w:tab/>
        <w:tab/>
        <w:t>М</w:t>
      </w:r>
      <w:r>
        <w:rPr>
          <w:b w:val="1"/>
          <w:bCs w:val="1"/>
          <w:sz w:val="22"/>
          <w:szCs w:val="22"/>
          <w:rtl w:val="0"/>
          <w:lang w:val="ru-RU"/>
        </w:rPr>
        <w:t>.</w:t>
      </w:r>
      <w:r>
        <w:rPr>
          <w:b w:val="1"/>
          <w:bCs w:val="1"/>
          <w:sz w:val="22"/>
          <w:szCs w:val="22"/>
          <w:rtl w:val="0"/>
          <w:lang w:val="ru-RU"/>
        </w:rPr>
        <w:t>В</w:t>
      </w:r>
      <w:r>
        <w:rPr>
          <w:b w:val="1"/>
          <w:bCs w:val="1"/>
          <w:sz w:val="22"/>
          <w:szCs w:val="22"/>
          <w:rtl w:val="0"/>
          <w:lang w:val="ru-RU"/>
        </w:rPr>
        <w:t xml:space="preserve">. </w:t>
      </w:r>
      <w:r>
        <w:rPr>
          <w:b w:val="1"/>
          <w:bCs w:val="1"/>
          <w:sz w:val="22"/>
          <w:szCs w:val="22"/>
          <w:rtl w:val="0"/>
          <w:lang w:val="ru-RU"/>
        </w:rPr>
        <w:t>Костеева</w:t>
      </w:r>
    </w:p>
    <w:p>
      <w:pPr>
        <w:pStyle w:val="Основной текст A"/>
        <w:suppressAutoHyphens w:val="1"/>
        <w:spacing w:line="230" w:lineRule="exact"/>
      </w:pPr>
      <w:r>
        <w:rPr>
          <w:i w:val="1"/>
          <w:iCs w:val="1"/>
          <w:spacing w:val="0"/>
          <w:sz w:val="22"/>
          <w:szCs w:val="22"/>
          <w:lang w:val="en-US"/>
        </w:rPr>
      </w:r>
    </w:p>
    <w:sectPr>
      <w:headerReference w:type="default" r:id="rId6"/>
      <w:footerReference w:type="default" r:id="rId7"/>
      <w:pgSz w:w="11900" w:h="16840" w:orient="portrait"/>
      <w:pgMar w:top="454" w:right="709" w:bottom="454" w:left="85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"/>
      <w:szCs w:val="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 Indent 3">
    <w:name w:val="Body Text Indent 3"/>
    <w:next w:val="Body Text Inden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36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"/>
      <w:szCs w:val="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